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100E" w:rsidR="005069D6" w:rsidP="005069D6" w:rsidRDefault="005069D6" w14:paraId="7CA82F77" w14:textId="1F85E0C2">
      <w:pPr>
        <w:rPr>
          <w:rFonts w:ascii="Times New Roman" w:hAnsi="Times New Roman" w:cs="Times New Roman"/>
          <w:b/>
          <w:bCs/>
          <w:i/>
          <w:iCs/>
          <w:sz w:val="24"/>
          <w:szCs w:val="24"/>
        </w:rPr>
      </w:pPr>
      <w:proofErr w:type="spellStart"/>
      <w:r w:rsidRPr="00F2100E">
        <w:rPr>
          <w:rFonts w:ascii="Times New Roman" w:hAnsi="Times New Roman" w:cs="Times New Roman"/>
          <w:i/>
          <w:iCs/>
          <w:sz w:val="24"/>
          <w:szCs w:val="24"/>
        </w:rPr>
        <w:t>Infografik</w:t>
      </w:r>
      <w:r w:rsidRPr="00F2100E" w:rsidR="0055284D">
        <w:rPr>
          <w:rFonts w:ascii="Times New Roman" w:hAnsi="Times New Roman" w:cs="Times New Roman"/>
          <w:i/>
          <w:iCs/>
          <w:sz w:val="24"/>
          <w:szCs w:val="24"/>
        </w:rPr>
        <w:t>a</w:t>
      </w:r>
      <w:proofErr w:type="spellEnd"/>
      <w:r w:rsidRPr="00F2100E">
        <w:rPr>
          <w:rFonts w:ascii="Times New Roman" w:hAnsi="Times New Roman" w:cs="Times New Roman"/>
          <w:i/>
          <w:iCs/>
          <w:sz w:val="24"/>
          <w:szCs w:val="24"/>
        </w:rPr>
        <w:t xml:space="preserve"> Nr. 2</w:t>
      </w:r>
    </w:p>
    <w:p w:rsidRPr="00F2100E" w:rsidR="00166CCB" w:rsidP="00721DC3" w:rsidRDefault="00166CCB" w14:paraId="170A4CA2" w14:textId="057FF842">
      <w:pPr>
        <w:jc w:val="center"/>
        <w:rPr>
          <w:rFonts w:ascii="Times New Roman" w:hAnsi="Times New Roman" w:cs="Times New Roman"/>
          <w:b/>
          <w:bCs/>
          <w:sz w:val="28"/>
          <w:szCs w:val="28"/>
        </w:rPr>
      </w:pPr>
      <w:r w:rsidRPr="00F2100E">
        <w:rPr>
          <w:rFonts w:ascii="Times New Roman" w:hAnsi="Times New Roman" w:cs="Times New Roman"/>
          <w:b/>
          <w:bCs/>
          <w:sz w:val="28"/>
          <w:szCs w:val="28"/>
        </w:rPr>
        <w:t xml:space="preserve">Krievijas Federācijas tiesas </w:t>
      </w:r>
      <w:r w:rsidRPr="00F2100E" w:rsidR="00EC355B">
        <w:rPr>
          <w:rFonts w:ascii="Times New Roman" w:hAnsi="Times New Roman" w:cs="Times New Roman"/>
          <w:b/>
          <w:bCs/>
          <w:sz w:val="28"/>
          <w:szCs w:val="28"/>
        </w:rPr>
        <w:t>no</w:t>
      </w:r>
      <w:r w:rsidRPr="00F2100E">
        <w:rPr>
          <w:rFonts w:ascii="Times New Roman" w:hAnsi="Times New Roman" w:cs="Times New Roman"/>
          <w:b/>
          <w:bCs/>
          <w:sz w:val="28"/>
          <w:szCs w:val="28"/>
        </w:rPr>
        <w:t>lēmuma</w:t>
      </w:r>
      <w:r w:rsidR="008559F8">
        <w:rPr>
          <w:rFonts w:ascii="Times New Roman" w:hAnsi="Times New Roman" w:cs="Times New Roman"/>
          <w:b/>
          <w:bCs/>
          <w:sz w:val="28"/>
          <w:szCs w:val="28"/>
        </w:rPr>
        <w:t xml:space="preserve"> </w:t>
      </w:r>
      <w:r w:rsidRPr="00A569D4" w:rsidR="008559F8">
        <w:rPr>
          <w:rFonts w:ascii="Times New Roman" w:hAnsi="Times New Roman" w:cs="Times New Roman"/>
          <w:b/>
          <w:bCs/>
          <w:sz w:val="28"/>
          <w:szCs w:val="28"/>
        </w:rPr>
        <w:t>civillietā</w:t>
      </w:r>
      <w:r w:rsidRPr="00A569D4">
        <w:rPr>
          <w:rFonts w:ascii="Times New Roman" w:hAnsi="Times New Roman" w:cs="Times New Roman"/>
          <w:b/>
          <w:bCs/>
          <w:sz w:val="28"/>
          <w:szCs w:val="28"/>
        </w:rPr>
        <w:t xml:space="preserve"> a</w:t>
      </w:r>
      <w:r w:rsidRPr="00F2100E">
        <w:rPr>
          <w:rFonts w:ascii="Times New Roman" w:hAnsi="Times New Roman" w:cs="Times New Roman"/>
          <w:b/>
          <w:bCs/>
          <w:sz w:val="28"/>
          <w:szCs w:val="28"/>
        </w:rPr>
        <w:t>tzīšanas un izpildes procedūra Latvijas Republikas teritorijā</w:t>
      </w:r>
    </w:p>
    <w:tbl>
      <w:tblPr>
        <w:tblStyle w:val="Reatabula"/>
        <w:tblW w:w="13613" w:type="dxa"/>
        <w:tblInd w:w="421" w:type="dxa"/>
        <w:tblLook w:val="04A0" w:firstRow="1" w:lastRow="0" w:firstColumn="1" w:lastColumn="0" w:noHBand="0" w:noVBand="1"/>
      </w:tblPr>
      <w:tblGrid>
        <w:gridCol w:w="1163"/>
        <w:gridCol w:w="12450"/>
      </w:tblGrid>
      <w:tr w:rsidRPr="00F2100E" w:rsidR="00F2100E" w:rsidTr="00F2100E" w14:paraId="32ADA36F" w14:textId="77777777">
        <w:trPr>
          <w:trHeight w:val="725"/>
        </w:trPr>
        <w:tc>
          <w:tcPr>
            <w:tcW w:w="1163" w:type="dxa"/>
            <w:vAlign w:val="center"/>
          </w:tcPr>
          <w:p w:rsidRPr="00F2100E" w:rsidR="00F2100E" w:rsidP="00F2100E" w:rsidRDefault="00F2100E" w14:paraId="2809CDEA" w14:textId="2E7C0C8F">
            <w:pPr>
              <w:jc w:val="center"/>
              <w:rPr>
                <w:rFonts w:ascii="Times New Roman" w:hAnsi="Times New Roman" w:cs="Times New Roman"/>
                <w:b/>
                <w:bCs/>
                <w:sz w:val="24"/>
                <w:szCs w:val="24"/>
              </w:rPr>
            </w:pPr>
            <w:r w:rsidRPr="00F2100E">
              <w:rPr>
                <w:rFonts w:ascii="Times New Roman" w:hAnsi="Times New Roman" w:cs="Times New Roman"/>
                <w:b/>
                <w:bCs/>
                <w:sz w:val="24"/>
                <w:szCs w:val="24"/>
              </w:rPr>
              <w:t>Darbības solis</w:t>
            </w:r>
          </w:p>
        </w:tc>
        <w:tc>
          <w:tcPr>
            <w:tcW w:w="12450" w:type="dxa"/>
            <w:vAlign w:val="center"/>
          </w:tcPr>
          <w:p w:rsidRPr="00F2100E" w:rsidR="00F2100E" w:rsidP="00F2100E" w:rsidRDefault="00F2100E" w14:paraId="1B2D449B" w14:textId="10C3F276">
            <w:pPr>
              <w:jc w:val="center"/>
              <w:rPr>
                <w:rFonts w:ascii="Times New Roman" w:hAnsi="Times New Roman" w:cs="Times New Roman"/>
                <w:b/>
                <w:bCs/>
                <w:sz w:val="24"/>
                <w:szCs w:val="24"/>
              </w:rPr>
            </w:pPr>
            <w:r w:rsidRPr="00F2100E">
              <w:rPr>
                <w:rFonts w:ascii="Times New Roman" w:hAnsi="Times New Roman" w:cs="Times New Roman"/>
                <w:b/>
                <w:bCs/>
                <w:sz w:val="24"/>
                <w:szCs w:val="24"/>
              </w:rPr>
              <w:t>Darbība</w:t>
            </w:r>
          </w:p>
        </w:tc>
      </w:tr>
      <w:tr w:rsidRPr="00F2100E" w:rsidR="00F2100E" w:rsidTr="00F2100E" w14:paraId="69FBA980" w14:textId="77777777">
        <w:tc>
          <w:tcPr>
            <w:tcW w:w="1163" w:type="dxa"/>
            <w:vAlign w:val="center"/>
          </w:tcPr>
          <w:p w:rsidRPr="00F2100E" w:rsidR="00F2100E" w:rsidP="00F2100E" w:rsidRDefault="00F2100E" w14:paraId="1DBDFA5C" w14:textId="58B70333">
            <w:pPr>
              <w:jc w:val="center"/>
              <w:rPr>
                <w:rFonts w:ascii="Times New Roman" w:hAnsi="Times New Roman" w:cs="Times New Roman"/>
                <w:b/>
                <w:bCs/>
                <w:sz w:val="24"/>
                <w:szCs w:val="24"/>
              </w:rPr>
            </w:pPr>
            <w:r w:rsidRPr="00F2100E">
              <w:rPr>
                <w:rFonts w:ascii="Times New Roman" w:hAnsi="Times New Roman" w:cs="Times New Roman"/>
                <w:b/>
                <w:bCs/>
                <w:sz w:val="24"/>
                <w:szCs w:val="24"/>
              </w:rPr>
              <w:t>1.</w:t>
            </w:r>
          </w:p>
        </w:tc>
        <w:tc>
          <w:tcPr>
            <w:tcW w:w="12450" w:type="dxa"/>
            <w:vAlign w:val="center"/>
          </w:tcPr>
          <w:p w:rsidRPr="00F2100E" w:rsidR="00F2100E" w:rsidP="00F2100E" w:rsidRDefault="00F2100E" w14:paraId="3EAFAEC3" w14:textId="2C824C83">
            <w:pPr>
              <w:rPr>
                <w:rFonts w:ascii="Times New Roman" w:hAnsi="Times New Roman" w:cs="Times New Roman"/>
                <w:sz w:val="24"/>
                <w:szCs w:val="24"/>
              </w:rPr>
            </w:pPr>
          </w:p>
          <w:p w:rsidR="00F2100E" w:rsidP="00F2100E" w:rsidRDefault="00F2100E" w14:paraId="1D16927B" w14:textId="7C1296F3">
            <w:pPr>
              <w:ind w:left="291"/>
              <w:rPr>
                <w:rFonts w:ascii="Times New Roman" w:hAnsi="Times New Roman" w:cs="Times New Roman"/>
                <w:sz w:val="24"/>
                <w:szCs w:val="24"/>
              </w:rPr>
            </w:pPr>
            <w:r w:rsidRPr="00F2100E">
              <w:rPr>
                <w:rFonts w:ascii="Times New Roman" w:hAnsi="Times New Roman" w:cs="Times New Roman"/>
                <w:sz w:val="24"/>
                <w:szCs w:val="24"/>
              </w:rPr>
              <w:t>Krievijas Federācijas kompetentā tiesa pēc personas lūguma sagatavo tiesas dokumentus un izsniedz tos prasītājam vai viņa pilnvarotajam pārstāvim.</w:t>
            </w:r>
          </w:p>
          <w:p w:rsidRPr="00F2100E" w:rsidR="00F2100E" w:rsidP="00F2100E" w:rsidRDefault="00F2100E" w14:paraId="31663060" w14:textId="77777777">
            <w:pPr>
              <w:ind w:left="291"/>
              <w:rPr>
                <w:rFonts w:ascii="Times New Roman" w:hAnsi="Times New Roman" w:cs="Times New Roman"/>
                <w:sz w:val="24"/>
                <w:szCs w:val="24"/>
              </w:rPr>
            </w:pPr>
          </w:p>
          <w:p w:rsidRPr="00F2100E" w:rsidR="00F2100E" w:rsidP="00F2100E" w:rsidRDefault="00F2100E" w14:paraId="1DC70440" w14:textId="77777777">
            <w:pPr>
              <w:ind w:left="291"/>
              <w:jc w:val="both"/>
              <w:rPr>
                <w:rFonts w:ascii="Times New Roman" w:hAnsi="Times New Roman" w:cs="Times New Roman"/>
                <w:sz w:val="24"/>
                <w:szCs w:val="24"/>
              </w:rPr>
            </w:pPr>
            <w:r w:rsidRPr="00F2100E">
              <w:rPr>
                <w:rFonts w:ascii="Times New Roman" w:hAnsi="Times New Roman" w:cs="Times New Roman"/>
                <w:sz w:val="24"/>
                <w:szCs w:val="24"/>
              </w:rPr>
              <w:t>Lai iesniegtu lūgumu par Krievijas Federācijas kompetentās tiesas nolēmuma atzīšanu un izpildi Latvijā, prasītājs</w:t>
            </w:r>
            <w:r w:rsidRPr="00F2100E">
              <w:rPr>
                <w:rFonts w:ascii="Times New Roman" w:hAnsi="Times New Roman" w:cs="Times New Roman"/>
                <w:i/>
                <w:iCs/>
                <w:sz w:val="24"/>
                <w:szCs w:val="24"/>
              </w:rPr>
              <w:t xml:space="preserve"> </w:t>
            </w:r>
            <w:r w:rsidRPr="00F2100E">
              <w:rPr>
                <w:rFonts w:ascii="Times New Roman" w:hAnsi="Times New Roman" w:cs="Times New Roman"/>
                <w:sz w:val="24"/>
                <w:szCs w:val="24"/>
              </w:rPr>
              <w:t>vai viņa pilnvarotais pārstāvis veic:</w:t>
            </w:r>
          </w:p>
          <w:p w:rsidRPr="00F2100E" w:rsidR="00F2100E" w:rsidP="00F2100E" w:rsidRDefault="00F2100E" w14:paraId="76FAD3B4" w14:textId="77777777">
            <w:pPr>
              <w:pStyle w:val="Sarakstarindkopa"/>
              <w:numPr>
                <w:ilvl w:val="0"/>
                <w:numId w:val="5"/>
              </w:numPr>
              <w:jc w:val="both"/>
              <w:rPr>
                <w:rFonts w:ascii="Times New Roman" w:hAnsi="Times New Roman" w:cs="Times New Roman"/>
                <w:sz w:val="24"/>
                <w:szCs w:val="24"/>
              </w:rPr>
            </w:pPr>
            <w:r w:rsidRPr="00F2100E">
              <w:rPr>
                <w:rFonts w:ascii="Times New Roman" w:hAnsi="Times New Roman" w:cs="Times New Roman"/>
                <w:sz w:val="24"/>
                <w:szCs w:val="24"/>
              </w:rPr>
              <w:t xml:space="preserve">Krievijas Federācijas kompetentās tiesas sagatavoto dokumentu apliecinājumu ar </w:t>
            </w:r>
            <w:proofErr w:type="spellStart"/>
            <w:r w:rsidRPr="00F2100E">
              <w:rPr>
                <w:rFonts w:ascii="Times New Roman" w:hAnsi="Times New Roman" w:cs="Times New Roman"/>
                <w:i/>
                <w:iCs/>
                <w:sz w:val="24"/>
                <w:szCs w:val="24"/>
              </w:rPr>
              <w:t>apostille</w:t>
            </w:r>
            <w:proofErr w:type="spellEnd"/>
            <w:r w:rsidRPr="00F2100E">
              <w:rPr>
                <w:rFonts w:ascii="Times New Roman" w:hAnsi="Times New Roman" w:cs="Times New Roman"/>
                <w:sz w:val="24"/>
                <w:szCs w:val="24"/>
              </w:rPr>
              <w:t xml:space="preserve"> atbilstoši Krievijas Federācijas prasībām </w:t>
            </w:r>
            <w:proofErr w:type="spellStart"/>
            <w:r w:rsidRPr="00F2100E">
              <w:rPr>
                <w:rFonts w:ascii="Times New Roman" w:hAnsi="Times New Roman" w:cs="Times New Roman"/>
                <w:i/>
                <w:iCs/>
                <w:sz w:val="24"/>
                <w:szCs w:val="24"/>
              </w:rPr>
              <w:t>apostille</w:t>
            </w:r>
            <w:proofErr w:type="spellEnd"/>
            <w:r w:rsidRPr="00F2100E">
              <w:rPr>
                <w:rFonts w:ascii="Times New Roman" w:hAnsi="Times New Roman" w:cs="Times New Roman"/>
                <w:sz w:val="24"/>
                <w:szCs w:val="24"/>
              </w:rPr>
              <w:t xml:space="preserve"> noformēšanai;</w:t>
            </w:r>
          </w:p>
          <w:p w:rsidRPr="00F2100E" w:rsidR="00F2100E" w:rsidP="00F2100E" w:rsidRDefault="00F2100E" w14:paraId="0F989309" w14:textId="77777777">
            <w:pPr>
              <w:pStyle w:val="Sarakstarindkopa"/>
              <w:numPr>
                <w:ilvl w:val="0"/>
                <w:numId w:val="5"/>
              </w:numPr>
              <w:jc w:val="both"/>
              <w:rPr>
                <w:rFonts w:ascii="Times New Roman" w:hAnsi="Times New Roman" w:cs="Times New Roman"/>
                <w:sz w:val="24"/>
                <w:szCs w:val="24"/>
              </w:rPr>
            </w:pPr>
            <w:r w:rsidRPr="00F2100E">
              <w:rPr>
                <w:rFonts w:ascii="Times New Roman" w:hAnsi="Times New Roman" w:cs="Times New Roman"/>
                <w:sz w:val="24"/>
                <w:szCs w:val="24"/>
              </w:rPr>
              <w:t>valsts nodevas samaksu  atbilstoši Civilprocesa likuma prasībām;</w:t>
            </w:r>
          </w:p>
          <w:p w:rsidRPr="00F2100E" w:rsidR="00F2100E" w:rsidP="00F2100E" w:rsidRDefault="00F2100E" w14:paraId="6B4D7072" w14:textId="77777777">
            <w:pPr>
              <w:pStyle w:val="Sarakstarindkopa"/>
              <w:numPr>
                <w:ilvl w:val="0"/>
                <w:numId w:val="5"/>
              </w:numPr>
              <w:jc w:val="both"/>
              <w:rPr>
                <w:rFonts w:ascii="Times New Roman" w:hAnsi="Times New Roman" w:cs="Times New Roman"/>
                <w:sz w:val="24"/>
                <w:szCs w:val="24"/>
              </w:rPr>
            </w:pPr>
            <w:r w:rsidRPr="00F2100E">
              <w:rPr>
                <w:rFonts w:ascii="Times New Roman" w:hAnsi="Times New Roman" w:cs="Times New Roman"/>
                <w:sz w:val="24"/>
                <w:szCs w:val="24"/>
              </w:rPr>
              <w:t>tiesas dokumentu apliecinātus tulkojumus latviešu valodā.</w:t>
            </w:r>
          </w:p>
          <w:p w:rsidRPr="00F2100E" w:rsidR="00F2100E" w:rsidP="00F2100E" w:rsidRDefault="00F2100E" w14:paraId="3895E840" w14:textId="620AB34B">
            <w:pPr>
              <w:rPr>
                <w:rFonts w:ascii="Times New Roman" w:hAnsi="Times New Roman" w:cs="Times New Roman"/>
                <w:sz w:val="24"/>
                <w:szCs w:val="24"/>
              </w:rPr>
            </w:pPr>
          </w:p>
        </w:tc>
      </w:tr>
      <w:tr w:rsidRPr="00F2100E" w:rsidR="00F2100E" w:rsidTr="00F2100E" w14:paraId="727FE780" w14:textId="77777777">
        <w:tc>
          <w:tcPr>
            <w:tcW w:w="1163" w:type="dxa"/>
            <w:vAlign w:val="center"/>
          </w:tcPr>
          <w:p w:rsidRPr="00F2100E" w:rsidR="00F2100E" w:rsidP="00F2100E" w:rsidRDefault="00F2100E" w14:paraId="4CEC4655" w14:textId="1A949081">
            <w:pPr>
              <w:ind w:left="279"/>
              <w:jc w:val="center"/>
              <w:rPr>
                <w:rFonts w:ascii="Times New Roman" w:hAnsi="Times New Roman" w:cs="Times New Roman"/>
                <w:b/>
                <w:bCs/>
                <w:sz w:val="24"/>
                <w:szCs w:val="24"/>
              </w:rPr>
            </w:pPr>
            <w:r>
              <w:rPr>
                <w:rFonts w:ascii="Times New Roman" w:hAnsi="Times New Roman" w:cs="Times New Roman"/>
                <w:b/>
                <w:bCs/>
                <w:sz w:val="24"/>
                <w:szCs w:val="24"/>
              </w:rPr>
              <w:t>2</w:t>
            </w:r>
            <w:r w:rsidRPr="00F2100E">
              <w:rPr>
                <w:rFonts w:ascii="Times New Roman" w:hAnsi="Times New Roman" w:cs="Times New Roman"/>
                <w:b/>
                <w:bCs/>
                <w:sz w:val="24"/>
                <w:szCs w:val="24"/>
              </w:rPr>
              <w:t>.</w:t>
            </w:r>
          </w:p>
        </w:tc>
        <w:tc>
          <w:tcPr>
            <w:tcW w:w="12450" w:type="dxa"/>
          </w:tcPr>
          <w:p w:rsidRPr="00F2100E" w:rsidR="00F2100E" w:rsidP="00215399" w:rsidRDefault="00F2100E" w14:paraId="3ABAE9FE" w14:textId="65321213">
            <w:pPr>
              <w:ind w:left="279"/>
              <w:jc w:val="both"/>
              <w:rPr>
                <w:rFonts w:ascii="Times New Roman" w:hAnsi="Times New Roman" w:cs="Times New Roman"/>
                <w:sz w:val="24"/>
                <w:szCs w:val="24"/>
              </w:rPr>
            </w:pPr>
          </w:p>
          <w:p w:rsidRPr="00F2100E" w:rsidR="00F2100E" w:rsidP="00215399" w:rsidRDefault="00F2100E" w14:paraId="7CBBE115" w14:textId="0AA840FF">
            <w:pPr>
              <w:ind w:left="279"/>
              <w:jc w:val="both"/>
              <w:rPr>
                <w:rFonts w:ascii="Times New Roman" w:hAnsi="Times New Roman" w:cs="Times New Roman"/>
                <w:sz w:val="24"/>
                <w:szCs w:val="24"/>
              </w:rPr>
            </w:pPr>
            <w:r w:rsidRPr="00F2100E">
              <w:rPr>
                <w:rFonts w:ascii="Times New Roman" w:hAnsi="Times New Roman" w:cs="Times New Roman"/>
                <w:sz w:val="24"/>
                <w:szCs w:val="24"/>
              </w:rPr>
              <w:t>Persona iesniedz pieteikumu par Krievijas Federācijas kompetentās tiesas nolēmuma atzīšanu un izpildi Latvijā pēc piekritības kompetentajai Latvijas tiesai lēmuma pieņemšanai.</w:t>
            </w:r>
          </w:p>
          <w:p w:rsidRPr="00F2100E" w:rsidR="00F2100E" w:rsidP="00215399" w:rsidRDefault="00F2100E" w14:paraId="09C0702B" w14:textId="77777777">
            <w:pPr>
              <w:ind w:left="279"/>
              <w:jc w:val="both"/>
              <w:rPr>
                <w:rFonts w:ascii="Times New Roman" w:hAnsi="Times New Roman" w:cs="Times New Roman"/>
                <w:sz w:val="24"/>
                <w:szCs w:val="24"/>
              </w:rPr>
            </w:pPr>
          </w:p>
          <w:p w:rsidRPr="00F2100E" w:rsidR="00F2100E" w:rsidP="00215399" w:rsidRDefault="00F2100E" w14:paraId="705541F4" w14:textId="385B2AD5">
            <w:pPr>
              <w:ind w:left="279"/>
              <w:jc w:val="both"/>
              <w:rPr>
                <w:rFonts w:ascii="Times New Roman" w:hAnsi="Times New Roman" w:cs="Times New Roman"/>
                <w:sz w:val="24"/>
                <w:szCs w:val="24"/>
              </w:rPr>
            </w:pPr>
            <w:r w:rsidRPr="00F2100E">
              <w:rPr>
                <w:rFonts w:ascii="Times New Roman" w:hAnsi="Times New Roman" w:cs="Times New Roman"/>
                <w:sz w:val="24"/>
                <w:szCs w:val="24"/>
              </w:rPr>
              <w:t>Pieteikumam pievieno</w:t>
            </w:r>
            <w:r>
              <w:rPr>
                <w:rFonts w:ascii="Times New Roman" w:hAnsi="Times New Roman" w:cs="Times New Roman"/>
                <w:sz w:val="24"/>
                <w:szCs w:val="24"/>
              </w:rPr>
              <w:t xml:space="preserve"> </w:t>
            </w:r>
            <w:r w:rsidRPr="00F2100E">
              <w:rPr>
                <w:rFonts w:ascii="Times New Roman" w:hAnsi="Times New Roman" w:cs="Times New Roman"/>
                <w:sz w:val="24"/>
                <w:szCs w:val="24"/>
              </w:rPr>
              <w:t>(</w:t>
            </w:r>
            <w:r w:rsidRPr="00F2100E">
              <w:rPr>
                <w:rFonts w:ascii="Times New Roman" w:hAnsi="Times New Roman" w:cs="Times New Roman"/>
                <w:i/>
                <w:iCs/>
                <w:sz w:val="24"/>
                <w:szCs w:val="24"/>
              </w:rPr>
              <w:t>skat. Civilprocesa likuma 638.pantu</w:t>
            </w:r>
            <w:r w:rsidRPr="00F2100E">
              <w:rPr>
                <w:rFonts w:ascii="Times New Roman" w:hAnsi="Times New Roman" w:cs="Times New Roman"/>
                <w:sz w:val="24"/>
                <w:szCs w:val="24"/>
              </w:rPr>
              <w:t>):</w:t>
            </w:r>
          </w:p>
          <w:p w:rsidRPr="00F2100E" w:rsidR="00F2100E" w:rsidP="00F2100E" w:rsidRDefault="00F2100E" w14:paraId="04FD97D1" w14:textId="0FD46956">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ja pieteikumu parakstījis pārstāvis, pieteikumam pievienojama pilnvara vai cits dokuments, kas apliecina pārstāvja pilnvarojumu griezties ar pieteikumu tiesā;</w:t>
            </w:r>
          </w:p>
          <w:p w:rsidRPr="00F2100E" w:rsidR="00F2100E" w:rsidP="00F2100E" w:rsidRDefault="00F2100E" w14:paraId="7611DC1D" w14:textId="4967394C">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ārvalsts tiesas nolēmumu ar apliecinājumu, ka nolēmums stājies likumīgā spēkā;</w:t>
            </w:r>
          </w:p>
          <w:p w:rsidRPr="00F2100E" w:rsidR="00F2100E" w:rsidP="00F2100E" w:rsidRDefault="00F2100E" w14:paraId="087C9511" w14:textId="180E04BC">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ārvalsts tiesas izdotu dokumentu, kas apliecina, ka atbildētājam, kurš nav piedalījies lietas izskatīšanā, savlaicīgi un pienācīgā kārtā bija paziņots par lietas izskatīšanas laiku un vietu;</w:t>
            </w:r>
          </w:p>
          <w:p w:rsidRPr="00F2100E" w:rsidR="00F2100E" w:rsidP="00F2100E" w:rsidRDefault="00F2100E" w14:paraId="0262D244" w14:textId="6CD857E4">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ārvalsts tiesas vai kompetentas institūcijas izdotu dokumentu par nolēmuma izpildi, ja ārvalsts tiesas nolēmums jau daļēji ir izpildīts;</w:t>
            </w:r>
          </w:p>
          <w:p w:rsidRPr="00F2100E" w:rsidR="00F2100E" w:rsidP="00F2100E" w:rsidRDefault="00F2100E" w14:paraId="5A845065" w14:textId="42B0BD7D">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ārvalsts tiesas izdotu dokumentu, kas apliecina, ka ārvalsts tiesas nolēmums ir izpildāms tā pieņemšanas valstī, ja pieteicējs lūdz ārvalsts tiesas nolēmuma atzīšanu un izpildi;</w:t>
            </w:r>
          </w:p>
          <w:p w:rsidRPr="00F2100E" w:rsidR="00F2100E" w:rsidP="00F2100E" w:rsidRDefault="00F2100E" w14:paraId="0C2DD483" w14:textId="0A077682">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pieteikuma un noteiktā kārtībā apliecinātu iepriekš minēto dokumentu tulkojumu valsts valodā;</w:t>
            </w:r>
          </w:p>
          <w:p w:rsidRPr="00F2100E" w:rsidR="00F2100E" w:rsidP="00F2100E" w:rsidRDefault="00F2100E" w14:paraId="1FFAC5B8" w14:textId="4EA8E68D">
            <w:pPr>
              <w:pStyle w:val="Sarakstarindkopa"/>
              <w:numPr>
                <w:ilvl w:val="0"/>
                <w:numId w:val="6"/>
              </w:numPr>
              <w:jc w:val="both"/>
              <w:rPr>
                <w:rFonts w:ascii="Times New Roman" w:hAnsi="Times New Roman" w:cs="Times New Roman"/>
                <w:sz w:val="24"/>
                <w:szCs w:val="24"/>
              </w:rPr>
            </w:pPr>
            <w:r w:rsidRPr="00F2100E">
              <w:rPr>
                <w:rFonts w:ascii="Times New Roman" w:hAnsi="Times New Roman" w:cs="Times New Roman"/>
                <w:sz w:val="24"/>
                <w:szCs w:val="24"/>
              </w:rPr>
              <w:t>dokumentu, kas apstiprina valsts nodevas nomaksu likumā noteiktajā kārtībā un apmērā, izņemot gadījumu, kad pieteikums iesniegts un samaksa veikta tiešsaistes sistēmā</w:t>
            </w:r>
            <w:r>
              <w:rPr>
                <w:rFonts w:ascii="Times New Roman" w:hAnsi="Times New Roman" w:cs="Times New Roman"/>
                <w:sz w:val="24"/>
                <w:szCs w:val="24"/>
              </w:rPr>
              <w:t>.</w:t>
            </w:r>
          </w:p>
        </w:tc>
      </w:tr>
      <w:tr w:rsidRPr="00F2100E" w:rsidR="00F2100E" w:rsidTr="00F2100E" w14:paraId="55FD0840" w14:textId="77777777">
        <w:tc>
          <w:tcPr>
            <w:tcW w:w="1163" w:type="dxa"/>
            <w:vAlign w:val="center"/>
          </w:tcPr>
          <w:p w:rsidRPr="00F2100E" w:rsidR="00F2100E" w:rsidP="00F2100E" w:rsidRDefault="00F2100E" w14:paraId="4F1F760F" w14:textId="2F5738D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F2100E">
              <w:rPr>
                <w:rFonts w:ascii="Times New Roman" w:hAnsi="Times New Roman" w:cs="Times New Roman"/>
                <w:b/>
                <w:bCs/>
                <w:sz w:val="24"/>
                <w:szCs w:val="24"/>
              </w:rPr>
              <w:t>.</w:t>
            </w:r>
          </w:p>
        </w:tc>
        <w:tc>
          <w:tcPr>
            <w:tcW w:w="12450" w:type="dxa"/>
          </w:tcPr>
          <w:p w:rsidRPr="00F2100E" w:rsidR="00F2100E" w:rsidP="00340018" w:rsidRDefault="00F2100E" w14:paraId="61F5CE82" w14:textId="1F530625">
            <w:pPr>
              <w:jc w:val="center"/>
              <w:rPr>
                <w:rFonts w:ascii="Times New Roman" w:hAnsi="Times New Roman" w:cs="Times New Roman"/>
                <w:sz w:val="24"/>
                <w:szCs w:val="24"/>
              </w:rPr>
            </w:pPr>
          </w:p>
          <w:p w:rsidR="00F2100E" w:rsidP="00F2100E" w:rsidRDefault="00F2100E" w14:paraId="5B694FD7" w14:textId="51465942">
            <w:pPr>
              <w:ind w:left="291"/>
              <w:rPr>
                <w:rFonts w:ascii="Times New Roman" w:hAnsi="Times New Roman" w:cs="Times New Roman"/>
                <w:sz w:val="24"/>
                <w:szCs w:val="24"/>
              </w:rPr>
            </w:pPr>
            <w:r w:rsidRPr="00F2100E">
              <w:rPr>
                <w:rFonts w:ascii="Times New Roman" w:hAnsi="Times New Roman" w:cs="Times New Roman"/>
                <w:sz w:val="24"/>
                <w:szCs w:val="24"/>
              </w:rPr>
              <w:t>Krievijas Federācijas kompetentās tiesas nolēmuma atzīšanas un izpildes turpmākā kārtība ir noteikta Civilprocesa likuma F daļas “Starptautiskais civilprocess” 77. nodaļā “Ārvalstu tiesu nolēmumu atzīšana un izpildīšana”</w:t>
            </w:r>
            <w:r>
              <w:rPr>
                <w:rFonts w:ascii="Times New Roman" w:hAnsi="Times New Roman" w:cs="Times New Roman"/>
                <w:sz w:val="24"/>
                <w:szCs w:val="24"/>
              </w:rPr>
              <w:t>.</w:t>
            </w:r>
          </w:p>
          <w:p w:rsidRPr="00F2100E" w:rsidR="00F2100E" w:rsidP="00F2100E" w:rsidRDefault="00F2100E" w14:paraId="78A476A6" w14:textId="77777777">
            <w:pPr>
              <w:ind w:left="291"/>
              <w:rPr>
                <w:rFonts w:ascii="Times New Roman" w:hAnsi="Times New Roman" w:cs="Times New Roman"/>
                <w:sz w:val="24"/>
                <w:szCs w:val="24"/>
              </w:rPr>
            </w:pPr>
          </w:p>
          <w:p w:rsidRPr="00F2100E" w:rsidR="00F2100E" w:rsidP="00F2100E" w:rsidRDefault="00F2100E" w14:paraId="25179BFD" w14:textId="59762825">
            <w:pPr>
              <w:ind w:left="291"/>
              <w:jc w:val="both"/>
              <w:rPr>
                <w:rFonts w:ascii="Times New Roman" w:hAnsi="Times New Roman" w:cs="Times New Roman"/>
                <w:sz w:val="24"/>
                <w:szCs w:val="24"/>
              </w:rPr>
            </w:pPr>
            <w:r w:rsidRPr="00F2100E">
              <w:rPr>
                <w:rFonts w:ascii="Times New Roman" w:hAnsi="Times New Roman" w:cs="Times New Roman"/>
                <w:sz w:val="24"/>
                <w:szCs w:val="24"/>
              </w:rPr>
              <w:t>Tiesnesis jautājumu izlemj vienpersoniski uz iesniegtā lūguma/ pieteikuma un tam pievienoto dokumentu pamata 10 dienu laikā pēc lietas ierosināšanas, neaicinot puses.</w:t>
            </w:r>
          </w:p>
          <w:p w:rsidRPr="00F2100E" w:rsidR="00F2100E" w:rsidP="00F2100E" w:rsidRDefault="00F2100E" w14:paraId="15C7F7B4" w14:textId="77777777">
            <w:pPr>
              <w:ind w:left="291"/>
              <w:jc w:val="both"/>
              <w:rPr>
                <w:rFonts w:ascii="Times New Roman" w:hAnsi="Times New Roman" w:cs="Times New Roman"/>
                <w:sz w:val="24"/>
                <w:szCs w:val="24"/>
              </w:rPr>
            </w:pPr>
          </w:p>
          <w:p w:rsidRPr="00F2100E" w:rsidR="00F2100E" w:rsidP="00F2100E" w:rsidRDefault="00F2100E" w14:paraId="3376701C" w14:textId="00562F33">
            <w:pPr>
              <w:ind w:left="291"/>
              <w:jc w:val="both"/>
              <w:rPr>
                <w:rFonts w:ascii="Times New Roman" w:hAnsi="Times New Roman" w:cs="Times New Roman"/>
                <w:sz w:val="24"/>
                <w:szCs w:val="24"/>
              </w:rPr>
            </w:pPr>
            <w:r w:rsidRPr="00F2100E">
              <w:rPr>
                <w:rFonts w:ascii="Times New Roman" w:hAnsi="Times New Roman" w:cs="Times New Roman"/>
                <w:sz w:val="24"/>
                <w:szCs w:val="24"/>
              </w:rPr>
              <w:t>Ārvalsts tiesas nolēmumu neatzīst tikai tad, ja pastāv viens no šādiem neatzīšanas pamatiem:</w:t>
            </w:r>
          </w:p>
          <w:p w:rsidRPr="00F2100E" w:rsidR="00F2100E" w:rsidP="00F2100E" w:rsidRDefault="00F2100E" w14:paraId="61B7B318" w14:textId="6127F388">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ārvalsts tiesa, kura pieņēmusi nolēmumu, saskaņā ar Latvijas likumu nebija kompetenta izskatīt attiecīgo strīdu vai šādam strīdam ir izņēmuma piekritība Latvijas tiesai;</w:t>
            </w:r>
          </w:p>
          <w:p w:rsidRPr="00F2100E" w:rsidR="00F2100E" w:rsidP="00F2100E" w:rsidRDefault="00F2100E" w14:paraId="5F5E8026" w14:textId="64CC7609">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ārvalsts tiesas nolēmums nav stājies likumīgā spēkā;</w:t>
            </w:r>
          </w:p>
          <w:p w:rsidRPr="00F2100E" w:rsidR="00F2100E" w:rsidP="00F2100E" w:rsidRDefault="00F2100E" w14:paraId="4767293E" w14:textId="68572A0F">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atbildētājam bijusi liegta iespēja aizstāvēt savas tiesības, it īpaši, ja atbildētājam, kurš nav piedalījies lietas izskatīšanā, nav ticis savlaicīgi un pienācīgā kārtā paziņots par ierašanos tiesā, izņemot, ja atbildētājs nav pārsūdzējis šo nolēmumu, lai gan viņam ir bijusi tāda iespēja;</w:t>
            </w:r>
          </w:p>
          <w:p w:rsidRPr="00F2100E" w:rsidR="00F2100E" w:rsidP="00F2100E" w:rsidRDefault="00F2100E" w14:paraId="5BA5F787" w14:textId="5AA7D812">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ārvalsts tiesas nolēmums nav savienojams ar Latvijā jau agrāk pieņemtu un likumīgā spēkā stājušos tiesas nolēmumu tajā pašā strīdā starp tām pašām pusēm vai ar Latvijas tiesā jau agrāk uzsāktu tiesvedību starp tām pašām pusēm;</w:t>
            </w:r>
          </w:p>
          <w:p w:rsidRPr="00F2100E" w:rsidR="00F2100E" w:rsidP="00F2100E" w:rsidRDefault="00F2100E" w14:paraId="0915E53D" w14:textId="593AA203">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ārvalsts tiesas nolēmums nav savienojams ar tādu jau agrāk pieņemtu un likumīgā spēkā stājušos citas ārvalsts tiesas nolēmumu tajā pašā strīdā starp tām pašām pusēm, kas ir atzīstams vai jau ir atzīts Latvijā;</w:t>
            </w:r>
          </w:p>
          <w:p w:rsidRPr="00F2100E" w:rsidR="00F2100E" w:rsidP="00F2100E" w:rsidRDefault="00F2100E" w14:paraId="28081DEB" w14:textId="64B7EFDF">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ārvalsts tiesas nolēmuma atzīšana ir pretrunā ar Latvijas sabiedrisko iekārtu;</w:t>
            </w:r>
          </w:p>
          <w:p w:rsidRPr="00F2100E" w:rsidR="00F2100E" w:rsidP="00F2100E" w:rsidRDefault="00F2100E" w14:paraId="5A708228" w14:textId="5D2E90BB">
            <w:pPr>
              <w:pStyle w:val="Sarakstarindkopa"/>
              <w:numPr>
                <w:ilvl w:val="0"/>
                <w:numId w:val="7"/>
              </w:numPr>
              <w:jc w:val="both"/>
              <w:rPr>
                <w:rFonts w:ascii="Times New Roman" w:hAnsi="Times New Roman" w:cs="Times New Roman"/>
                <w:sz w:val="24"/>
                <w:szCs w:val="24"/>
              </w:rPr>
            </w:pPr>
            <w:r w:rsidRPr="00F2100E">
              <w:rPr>
                <w:rFonts w:ascii="Times New Roman" w:hAnsi="Times New Roman" w:cs="Times New Roman"/>
                <w:sz w:val="24"/>
                <w:szCs w:val="24"/>
              </w:rPr>
              <w:t>pieņemot ārvalsts tiesas nolēmumu, nav piemērots tās valsts likums, kas būtu piemērojams atbilstoši Latvijas starptautisko privāttiesību kolīziju normām.</w:t>
            </w:r>
          </w:p>
          <w:p w:rsidRPr="00F2100E" w:rsidR="00F2100E" w:rsidP="00F2100E" w:rsidRDefault="00F2100E" w14:paraId="5016B85E" w14:textId="4378DC16">
            <w:pPr>
              <w:ind w:left="291"/>
              <w:jc w:val="both"/>
              <w:rPr>
                <w:rFonts w:ascii="Times New Roman" w:hAnsi="Times New Roman" w:cs="Times New Roman"/>
                <w:sz w:val="24"/>
                <w:szCs w:val="24"/>
              </w:rPr>
            </w:pPr>
            <w:r w:rsidRPr="00F2100E">
              <w:rPr>
                <w:rFonts w:ascii="Times New Roman" w:hAnsi="Times New Roman" w:cs="Times New Roman"/>
                <w:sz w:val="24"/>
                <w:szCs w:val="24"/>
              </w:rPr>
              <w:t>(</w:t>
            </w:r>
            <w:r w:rsidRPr="00A569D4">
              <w:rPr>
                <w:rFonts w:ascii="Times New Roman" w:hAnsi="Times New Roman" w:cs="Times New Roman"/>
                <w:i/>
                <w:iCs/>
                <w:sz w:val="24"/>
                <w:szCs w:val="24"/>
              </w:rPr>
              <w:t>skat. Civilprocesa likuma 637. un 640.pantu</w:t>
            </w:r>
            <w:r w:rsidRPr="00F2100E">
              <w:rPr>
                <w:rFonts w:ascii="Times New Roman" w:hAnsi="Times New Roman" w:cs="Times New Roman"/>
                <w:sz w:val="24"/>
                <w:szCs w:val="24"/>
              </w:rPr>
              <w:t>)</w:t>
            </w:r>
            <w:r>
              <w:rPr>
                <w:rFonts w:ascii="Times New Roman" w:hAnsi="Times New Roman" w:cs="Times New Roman"/>
                <w:sz w:val="24"/>
                <w:szCs w:val="24"/>
              </w:rPr>
              <w:t>.</w:t>
            </w:r>
          </w:p>
          <w:p w:rsidRPr="00F2100E" w:rsidR="00F2100E" w:rsidP="00340018" w:rsidRDefault="00F2100E" w14:paraId="1C2BC3A3" w14:textId="72FFFF66">
            <w:pPr>
              <w:jc w:val="center"/>
              <w:rPr>
                <w:rFonts w:ascii="Times New Roman" w:hAnsi="Times New Roman" w:cs="Times New Roman"/>
                <w:sz w:val="24"/>
                <w:szCs w:val="24"/>
              </w:rPr>
            </w:pPr>
          </w:p>
        </w:tc>
      </w:tr>
      <w:tr w:rsidRPr="00F2100E" w:rsidR="00F2100E" w:rsidTr="00F2100E" w14:paraId="16A5EAAB" w14:textId="77777777">
        <w:tc>
          <w:tcPr>
            <w:tcW w:w="1163" w:type="dxa"/>
            <w:vAlign w:val="center"/>
          </w:tcPr>
          <w:p w:rsidRPr="00F2100E" w:rsidR="00F2100E" w:rsidP="00F2100E" w:rsidRDefault="00F2100E" w14:paraId="21556A93" w14:textId="1270A7BB">
            <w:pPr>
              <w:jc w:val="center"/>
              <w:rPr>
                <w:rFonts w:ascii="Times New Roman" w:hAnsi="Times New Roman" w:cs="Times New Roman"/>
                <w:b/>
                <w:bCs/>
                <w:sz w:val="24"/>
                <w:szCs w:val="24"/>
              </w:rPr>
            </w:pPr>
            <w:r>
              <w:rPr>
                <w:rFonts w:ascii="Times New Roman" w:hAnsi="Times New Roman" w:cs="Times New Roman"/>
                <w:b/>
                <w:bCs/>
                <w:sz w:val="24"/>
                <w:szCs w:val="24"/>
              </w:rPr>
              <w:t>4</w:t>
            </w:r>
            <w:r w:rsidRPr="00F2100E">
              <w:rPr>
                <w:rFonts w:ascii="Times New Roman" w:hAnsi="Times New Roman" w:cs="Times New Roman"/>
                <w:b/>
                <w:bCs/>
                <w:sz w:val="24"/>
                <w:szCs w:val="24"/>
              </w:rPr>
              <w:t>.</w:t>
            </w:r>
          </w:p>
        </w:tc>
        <w:tc>
          <w:tcPr>
            <w:tcW w:w="12450" w:type="dxa"/>
          </w:tcPr>
          <w:p w:rsidRPr="00F2100E" w:rsidR="00F2100E" w:rsidP="00F2100E" w:rsidRDefault="00F2100E" w14:paraId="7950A91C" w14:textId="793735A6">
            <w:pPr>
              <w:ind w:left="291"/>
              <w:jc w:val="both"/>
              <w:rPr>
                <w:rFonts w:ascii="Times New Roman" w:hAnsi="Times New Roman" w:cs="Times New Roman"/>
                <w:sz w:val="24"/>
                <w:szCs w:val="24"/>
              </w:rPr>
            </w:pPr>
            <w:r w:rsidRPr="00F2100E">
              <w:rPr>
                <w:rFonts w:ascii="Times New Roman" w:hAnsi="Times New Roman" w:cs="Times New Roman"/>
                <w:sz w:val="24"/>
                <w:szCs w:val="24"/>
              </w:rPr>
              <w:t>Par pirmās instances tiesas lēmumu ārvalsts tiesas nolēmuma atzīšanas var iesniegt blakus sūdzību apgabaltiesai, bet apgabaltiesas lēmumu par blakus sūdzību var pārsūdzēt Augstākajā tiesā, iesniedzot blakus sūdzību (divu instanču pārsūdzības iespējas)</w:t>
            </w:r>
          </w:p>
          <w:p w:rsidRPr="00F2100E" w:rsidR="00F2100E" w:rsidP="00F2100E" w:rsidRDefault="00F2100E" w14:paraId="6C195CB0" w14:textId="77777777">
            <w:pPr>
              <w:ind w:left="291"/>
              <w:jc w:val="both"/>
              <w:rPr>
                <w:rFonts w:ascii="Times New Roman" w:hAnsi="Times New Roman" w:cs="Times New Roman"/>
                <w:sz w:val="24"/>
                <w:szCs w:val="24"/>
              </w:rPr>
            </w:pPr>
          </w:p>
          <w:p w:rsidRPr="00F2100E" w:rsidR="00F2100E" w:rsidP="00F2100E" w:rsidRDefault="00F2100E" w14:paraId="6F14AF64" w14:textId="0EF5BCEA">
            <w:pPr>
              <w:ind w:left="291"/>
              <w:jc w:val="both"/>
              <w:rPr>
                <w:rFonts w:ascii="Times New Roman" w:hAnsi="Times New Roman" w:cs="Times New Roman"/>
                <w:sz w:val="24"/>
                <w:szCs w:val="24"/>
              </w:rPr>
            </w:pPr>
            <w:r w:rsidRPr="00F2100E">
              <w:rPr>
                <w:rFonts w:ascii="Times New Roman" w:hAnsi="Times New Roman" w:cs="Times New Roman"/>
                <w:sz w:val="24"/>
                <w:szCs w:val="24"/>
              </w:rPr>
              <w:t xml:space="preserve">Ja lietas dalībnieka dzīvesvieta/ juridiskā adrese </w:t>
            </w:r>
            <w:r w:rsidRPr="00F2100E">
              <w:rPr>
                <w:rFonts w:ascii="Times New Roman" w:hAnsi="Times New Roman" w:cs="Times New Roman"/>
                <w:b/>
                <w:bCs/>
                <w:sz w:val="24"/>
                <w:szCs w:val="24"/>
              </w:rPr>
              <w:t>ir</w:t>
            </w:r>
            <w:r w:rsidRPr="00F2100E">
              <w:rPr>
                <w:rFonts w:ascii="Times New Roman" w:hAnsi="Times New Roman" w:cs="Times New Roman"/>
                <w:sz w:val="24"/>
                <w:szCs w:val="24"/>
              </w:rPr>
              <w:t xml:space="preserve"> Latvijā – blakus sūdzību var iesniegt 30 dienu laikā no lēmuma izsniegšanas dienas;</w:t>
            </w:r>
          </w:p>
          <w:p w:rsidRPr="00F2100E" w:rsidR="00F2100E" w:rsidP="00F2100E" w:rsidRDefault="00F2100E" w14:paraId="443043D8" w14:textId="03814C98">
            <w:pPr>
              <w:ind w:left="291"/>
              <w:jc w:val="both"/>
              <w:rPr>
                <w:rFonts w:ascii="Times New Roman" w:hAnsi="Times New Roman" w:cs="Times New Roman"/>
                <w:sz w:val="24"/>
                <w:szCs w:val="24"/>
              </w:rPr>
            </w:pPr>
            <w:r w:rsidRPr="00F2100E">
              <w:rPr>
                <w:rFonts w:ascii="Times New Roman" w:hAnsi="Times New Roman" w:cs="Times New Roman"/>
                <w:sz w:val="24"/>
                <w:szCs w:val="24"/>
              </w:rPr>
              <w:t xml:space="preserve">Ja lietas dalībnieka dzīvesvieta/ juridiskā adrese </w:t>
            </w:r>
            <w:r w:rsidRPr="00F2100E">
              <w:rPr>
                <w:rFonts w:ascii="Times New Roman" w:hAnsi="Times New Roman" w:cs="Times New Roman"/>
                <w:b/>
                <w:bCs/>
                <w:sz w:val="24"/>
                <w:szCs w:val="24"/>
              </w:rPr>
              <w:t>nav</w:t>
            </w:r>
            <w:r w:rsidRPr="00F2100E">
              <w:rPr>
                <w:rFonts w:ascii="Times New Roman" w:hAnsi="Times New Roman" w:cs="Times New Roman"/>
                <w:sz w:val="24"/>
                <w:szCs w:val="24"/>
              </w:rPr>
              <w:t xml:space="preserve"> Latvijā – blakus sūdzību var iesniegt 60 dienu laikā no lēmuma izsniegšanas dienas;</w:t>
            </w:r>
          </w:p>
          <w:p w:rsidRPr="00F2100E" w:rsidR="00F2100E" w:rsidP="00F2100E" w:rsidRDefault="00F2100E" w14:paraId="0A090232" w14:textId="27D6E60F">
            <w:pPr>
              <w:ind w:left="291"/>
              <w:jc w:val="both"/>
              <w:rPr>
                <w:rFonts w:ascii="Times New Roman" w:hAnsi="Times New Roman" w:cs="Times New Roman"/>
                <w:sz w:val="24"/>
                <w:szCs w:val="24"/>
              </w:rPr>
            </w:pPr>
            <w:r w:rsidRPr="00F2100E">
              <w:rPr>
                <w:rFonts w:ascii="Times New Roman" w:hAnsi="Times New Roman" w:cs="Times New Roman"/>
                <w:sz w:val="24"/>
                <w:szCs w:val="24"/>
              </w:rPr>
              <w:t>(</w:t>
            </w:r>
            <w:r w:rsidRPr="00F2100E">
              <w:rPr>
                <w:rFonts w:ascii="Times New Roman" w:hAnsi="Times New Roman" w:cs="Times New Roman"/>
                <w:i/>
                <w:iCs/>
                <w:sz w:val="24"/>
                <w:szCs w:val="24"/>
              </w:rPr>
              <w:t>skat. Civilprocesa likuma 641.pantu</w:t>
            </w:r>
            <w:r w:rsidRPr="00F2100E">
              <w:rPr>
                <w:rFonts w:ascii="Times New Roman" w:hAnsi="Times New Roman" w:cs="Times New Roman"/>
                <w:sz w:val="24"/>
                <w:szCs w:val="24"/>
              </w:rPr>
              <w:t>)</w:t>
            </w:r>
          </w:p>
        </w:tc>
      </w:tr>
      <w:tr w:rsidRPr="00F2100E" w:rsidR="00F2100E" w:rsidTr="00F2100E" w14:paraId="24CEE32B" w14:textId="77777777">
        <w:trPr>
          <w:trHeight w:val="483"/>
        </w:trPr>
        <w:tc>
          <w:tcPr>
            <w:tcW w:w="1163" w:type="dxa"/>
            <w:vAlign w:val="center"/>
          </w:tcPr>
          <w:p w:rsidRPr="00F2100E" w:rsidR="00F2100E" w:rsidP="00C46703" w:rsidRDefault="00F2100E" w14:paraId="705E2E09" w14:textId="2271A4E5">
            <w:pPr>
              <w:jc w:val="center"/>
              <w:rPr>
                <w:rFonts w:ascii="Times New Roman" w:hAnsi="Times New Roman" w:cs="Times New Roman"/>
                <w:b/>
                <w:bCs/>
                <w:sz w:val="24"/>
                <w:szCs w:val="24"/>
              </w:rPr>
            </w:pPr>
            <w:r>
              <w:rPr>
                <w:rFonts w:ascii="Times New Roman" w:hAnsi="Times New Roman" w:cs="Times New Roman"/>
                <w:b/>
                <w:bCs/>
                <w:sz w:val="24"/>
                <w:szCs w:val="24"/>
              </w:rPr>
              <w:t>5</w:t>
            </w:r>
            <w:r w:rsidRPr="00F2100E">
              <w:rPr>
                <w:rFonts w:ascii="Times New Roman" w:hAnsi="Times New Roman" w:cs="Times New Roman"/>
                <w:b/>
                <w:bCs/>
                <w:sz w:val="24"/>
                <w:szCs w:val="24"/>
              </w:rPr>
              <w:t>.</w:t>
            </w:r>
          </w:p>
        </w:tc>
        <w:tc>
          <w:tcPr>
            <w:tcW w:w="12450" w:type="dxa"/>
            <w:vAlign w:val="center"/>
          </w:tcPr>
          <w:p w:rsidRPr="00F2100E" w:rsidR="00F2100E" w:rsidP="00F2100E" w:rsidRDefault="00F2100E" w14:paraId="06DB4411" w14:textId="0D050BC9">
            <w:pPr>
              <w:ind w:left="291"/>
              <w:jc w:val="both"/>
              <w:rPr>
                <w:rFonts w:ascii="Times New Roman" w:hAnsi="Times New Roman" w:cs="Times New Roman"/>
                <w:sz w:val="24"/>
                <w:szCs w:val="24"/>
              </w:rPr>
            </w:pPr>
            <w:r w:rsidRPr="00F2100E">
              <w:rPr>
                <w:rFonts w:ascii="Times New Roman" w:hAnsi="Times New Roman" w:cs="Times New Roman"/>
                <w:sz w:val="24"/>
                <w:szCs w:val="24"/>
              </w:rPr>
              <w:t>Ārvalsts tiesas nolēmumu pēc tā atzīšanas izpilda Civilprocesa likumā noteiktajā kārtībā.</w:t>
            </w:r>
          </w:p>
        </w:tc>
      </w:tr>
    </w:tbl>
    <w:p w:rsidRPr="00F2100E" w:rsidR="00756A26" w:rsidP="00340018" w:rsidRDefault="00756A26" w14:paraId="5E590636" w14:textId="77777777">
      <w:pPr>
        <w:jc w:val="both"/>
        <w:rPr>
          <w:rFonts w:ascii="Times New Roman" w:hAnsi="Times New Roman" w:cs="Times New Roman"/>
          <w:sz w:val="24"/>
          <w:szCs w:val="24"/>
        </w:rPr>
      </w:pPr>
    </w:p>
    <w:sectPr w:rsidRPr="00F2100E" w:rsidR="00756A26" w:rsidSect="00A3415D">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0039"/>
    <w:multiLevelType w:val="hybridMultilevel"/>
    <w:tmpl w:val="835AB20E"/>
    <w:lvl w:ilvl="0" w:tplc="04260011">
      <w:start w:val="1"/>
      <w:numFmt w:val="decimal"/>
      <w:lvlText w:val="%1)"/>
      <w:lvlJc w:val="left"/>
      <w:pPr>
        <w:ind w:left="1011" w:hanging="360"/>
      </w:pPr>
    </w:lvl>
    <w:lvl w:ilvl="1" w:tplc="04260019" w:tentative="1">
      <w:start w:val="1"/>
      <w:numFmt w:val="lowerLetter"/>
      <w:lvlText w:val="%2."/>
      <w:lvlJc w:val="left"/>
      <w:pPr>
        <w:ind w:left="1731" w:hanging="360"/>
      </w:pPr>
    </w:lvl>
    <w:lvl w:ilvl="2" w:tplc="0426001B" w:tentative="1">
      <w:start w:val="1"/>
      <w:numFmt w:val="lowerRoman"/>
      <w:lvlText w:val="%3."/>
      <w:lvlJc w:val="right"/>
      <w:pPr>
        <w:ind w:left="2451" w:hanging="180"/>
      </w:pPr>
    </w:lvl>
    <w:lvl w:ilvl="3" w:tplc="0426000F" w:tentative="1">
      <w:start w:val="1"/>
      <w:numFmt w:val="decimal"/>
      <w:lvlText w:val="%4."/>
      <w:lvlJc w:val="left"/>
      <w:pPr>
        <w:ind w:left="3171" w:hanging="360"/>
      </w:pPr>
    </w:lvl>
    <w:lvl w:ilvl="4" w:tplc="04260019" w:tentative="1">
      <w:start w:val="1"/>
      <w:numFmt w:val="lowerLetter"/>
      <w:lvlText w:val="%5."/>
      <w:lvlJc w:val="left"/>
      <w:pPr>
        <w:ind w:left="3891" w:hanging="360"/>
      </w:pPr>
    </w:lvl>
    <w:lvl w:ilvl="5" w:tplc="0426001B" w:tentative="1">
      <w:start w:val="1"/>
      <w:numFmt w:val="lowerRoman"/>
      <w:lvlText w:val="%6."/>
      <w:lvlJc w:val="right"/>
      <w:pPr>
        <w:ind w:left="4611" w:hanging="180"/>
      </w:pPr>
    </w:lvl>
    <w:lvl w:ilvl="6" w:tplc="0426000F" w:tentative="1">
      <w:start w:val="1"/>
      <w:numFmt w:val="decimal"/>
      <w:lvlText w:val="%7."/>
      <w:lvlJc w:val="left"/>
      <w:pPr>
        <w:ind w:left="5331" w:hanging="360"/>
      </w:pPr>
    </w:lvl>
    <w:lvl w:ilvl="7" w:tplc="04260019" w:tentative="1">
      <w:start w:val="1"/>
      <w:numFmt w:val="lowerLetter"/>
      <w:lvlText w:val="%8."/>
      <w:lvlJc w:val="left"/>
      <w:pPr>
        <w:ind w:left="6051" w:hanging="360"/>
      </w:pPr>
    </w:lvl>
    <w:lvl w:ilvl="8" w:tplc="0426001B" w:tentative="1">
      <w:start w:val="1"/>
      <w:numFmt w:val="lowerRoman"/>
      <w:lvlText w:val="%9."/>
      <w:lvlJc w:val="right"/>
      <w:pPr>
        <w:ind w:left="6771" w:hanging="180"/>
      </w:pPr>
    </w:lvl>
  </w:abstractNum>
  <w:abstractNum w:abstractNumId="1" w15:restartNumberingAfterBreak="0">
    <w:nsid w:val="107E6D29"/>
    <w:multiLevelType w:val="hybridMultilevel"/>
    <w:tmpl w:val="FF2C0774"/>
    <w:lvl w:ilvl="0" w:tplc="04260011">
      <w:start w:val="1"/>
      <w:numFmt w:val="decimal"/>
      <w:lvlText w:val="%1)"/>
      <w:lvlJc w:val="left"/>
      <w:pPr>
        <w:ind w:left="1011" w:hanging="360"/>
      </w:pPr>
    </w:lvl>
    <w:lvl w:ilvl="1" w:tplc="04260019" w:tentative="1">
      <w:start w:val="1"/>
      <w:numFmt w:val="lowerLetter"/>
      <w:lvlText w:val="%2."/>
      <w:lvlJc w:val="left"/>
      <w:pPr>
        <w:ind w:left="1731" w:hanging="360"/>
      </w:pPr>
    </w:lvl>
    <w:lvl w:ilvl="2" w:tplc="0426001B" w:tentative="1">
      <w:start w:val="1"/>
      <w:numFmt w:val="lowerRoman"/>
      <w:lvlText w:val="%3."/>
      <w:lvlJc w:val="right"/>
      <w:pPr>
        <w:ind w:left="2451" w:hanging="180"/>
      </w:pPr>
    </w:lvl>
    <w:lvl w:ilvl="3" w:tplc="0426000F" w:tentative="1">
      <w:start w:val="1"/>
      <w:numFmt w:val="decimal"/>
      <w:lvlText w:val="%4."/>
      <w:lvlJc w:val="left"/>
      <w:pPr>
        <w:ind w:left="3171" w:hanging="360"/>
      </w:pPr>
    </w:lvl>
    <w:lvl w:ilvl="4" w:tplc="04260019" w:tentative="1">
      <w:start w:val="1"/>
      <w:numFmt w:val="lowerLetter"/>
      <w:lvlText w:val="%5."/>
      <w:lvlJc w:val="left"/>
      <w:pPr>
        <w:ind w:left="3891" w:hanging="360"/>
      </w:pPr>
    </w:lvl>
    <w:lvl w:ilvl="5" w:tplc="0426001B" w:tentative="1">
      <w:start w:val="1"/>
      <w:numFmt w:val="lowerRoman"/>
      <w:lvlText w:val="%6."/>
      <w:lvlJc w:val="right"/>
      <w:pPr>
        <w:ind w:left="4611" w:hanging="180"/>
      </w:pPr>
    </w:lvl>
    <w:lvl w:ilvl="6" w:tplc="0426000F" w:tentative="1">
      <w:start w:val="1"/>
      <w:numFmt w:val="decimal"/>
      <w:lvlText w:val="%7."/>
      <w:lvlJc w:val="left"/>
      <w:pPr>
        <w:ind w:left="5331" w:hanging="360"/>
      </w:pPr>
    </w:lvl>
    <w:lvl w:ilvl="7" w:tplc="04260019" w:tentative="1">
      <w:start w:val="1"/>
      <w:numFmt w:val="lowerLetter"/>
      <w:lvlText w:val="%8."/>
      <w:lvlJc w:val="left"/>
      <w:pPr>
        <w:ind w:left="6051" w:hanging="360"/>
      </w:pPr>
    </w:lvl>
    <w:lvl w:ilvl="8" w:tplc="0426001B" w:tentative="1">
      <w:start w:val="1"/>
      <w:numFmt w:val="lowerRoman"/>
      <w:lvlText w:val="%9."/>
      <w:lvlJc w:val="right"/>
      <w:pPr>
        <w:ind w:left="6771" w:hanging="180"/>
      </w:pPr>
    </w:lvl>
  </w:abstractNum>
  <w:abstractNum w:abstractNumId="2" w15:restartNumberingAfterBreak="0">
    <w:nsid w:val="155E6814"/>
    <w:multiLevelType w:val="hybridMultilevel"/>
    <w:tmpl w:val="171E29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743EA8"/>
    <w:multiLevelType w:val="hybridMultilevel"/>
    <w:tmpl w:val="EB1069DE"/>
    <w:lvl w:ilvl="0" w:tplc="17F6B980">
      <w:start w:val="1"/>
      <w:numFmt w:val="bullet"/>
      <w:lvlText w:val=""/>
      <w:lvlJc w:val="left"/>
      <w:pPr>
        <w:ind w:left="644"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58C4E12"/>
    <w:multiLevelType w:val="hybridMultilevel"/>
    <w:tmpl w:val="A8203FBA"/>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5FD66153"/>
    <w:multiLevelType w:val="hybridMultilevel"/>
    <w:tmpl w:val="EB0A710C"/>
    <w:lvl w:ilvl="0" w:tplc="04260011">
      <w:start w:val="1"/>
      <w:numFmt w:val="decimal"/>
      <w:lvlText w:val="%1)"/>
      <w:lvlJc w:val="left"/>
      <w:pPr>
        <w:ind w:left="999" w:hanging="360"/>
      </w:pPr>
    </w:lvl>
    <w:lvl w:ilvl="1" w:tplc="04260019" w:tentative="1">
      <w:start w:val="1"/>
      <w:numFmt w:val="lowerLetter"/>
      <w:lvlText w:val="%2."/>
      <w:lvlJc w:val="left"/>
      <w:pPr>
        <w:ind w:left="1719" w:hanging="360"/>
      </w:pPr>
    </w:lvl>
    <w:lvl w:ilvl="2" w:tplc="0426001B" w:tentative="1">
      <w:start w:val="1"/>
      <w:numFmt w:val="lowerRoman"/>
      <w:lvlText w:val="%3."/>
      <w:lvlJc w:val="right"/>
      <w:pPr>
        <w:ind w:left="2439" w:hanging="180"/>
      </w:pPr>
    </w:lvl>
    <w:lvl w:ilvl="3" w:tplc="0426000F" w:tentative="1">
      <w:start w:val="1"/>
      <w:numFmt w:val="decimal"/>
      <w:lvlText w:val="%4."/>
      <w:lvlJc w:val="left"/>
      <w:pPr>
        <w:ind w:left="3159" w:hanging="360"/>
      </w:pPr>
    </w:lvl>
    <w:lvl w:ilvl="4" w:tplc="04260019" w:tentative="1">
      <w:start w:val="1"/>
      <w:numFmt w:val="lowerLetter"/>
      <w:lvlText w:val="%5."/>
      <w:lvlJc w:val="left"/>
      <w:pPr>
        <w:ind w:left="3879" w:hanging="360"/>
      </w:pPr>
    </w:lvl>
    <w:lvl w:ilvl="5" w:tplc="0426001B" w:tentative="1">
      <w:start w:val="1"/>
      <w:numFmt w:val="lowerRoman"/>
      <w:lvlText w:val="%6."/>
      <w:lvlJc w:val="right"/>
      <w:pPr>
        <w:ind w:left="4599" w:hanging="180"/>
      </w:pPr>
    </w:lvl>
    <w:lvl w:ilvl="6" w:tplc="0426000F" w:tentative="1">
      <w:start w:val="1"/>
      <w:numFmt w:val="decimal"/>
      <w:lvlText w:val="%7."/>
      <w:lvlJc w:val="left"/>
      <w:pPr>
        <w:ind w:left="5319" w:hanging="360"/>
      </w:pPr>
    </w:lvl>
    <w:lvl w:ilvl="7" w:tplc="04260019" w:tentative="1">
      <w:start w:val="1"/>
      <w:numFmt w:val="lowerLetter"/>
      <w:lvlText w:val="%8."/>
      <w:lvlJc w:val="left"/>
      <w:pPr>
        <w:ind w:left="6039" w:hanging="360"/>
      </w:pPr>
    </w:lvl>
    <w:lvl w:ilvl="8" w:tplc="0426001B" w:tentative="1">
      <w:start w:val="1"/>
      <w:numFmt w:val="lowerRoman"/>
      <w:lvlText w:val="%9."/>
      <w:lvlJc w:val="right"/>
      <w:pPr>
        <w:ind w:left="6759" w:hanging="180"/>
      </w:pPr>
    </w:lvl>
  </w:abstractNum>
  <w:abstractNum w:abstractNumId="6" w15:restartNumberingAfterBreak="0">
    <w:nsid w:val="7D6F57C2"/>
    <w:multiLevelType w:val="hybridMultilevel"/>
    <w:tmpl w:val="5936D722"/>
    <w:lvl w:ilvl="0" w:tplc="3B06BA44">
      <w:start w:val="1"/>
      <w:numFmt w:val="decimal"/>
      <w:lvlText w:val="%1)"/>
      <w:lvlJc w:val="left"/>
      <w:pPr>
        <w:ind w:left="651" w:hanging="360"/>
      </w:pPr>
      <w:rPr>
        <w:rFonts w:hint="default"/>
      </w:rPr>
    </w:lvl>
    <w:lvl w:ilvl="1" w:tplc="04260019" w:tentative="1">
      <w:start w:val="1"/>
      <w:numFmt w:val="lowerLetter"/>
      <w:lvlText w:val="%2."/>
      <w:lvlJc w:val="left"/>
      <w:pPr>
        <w:ind w:left="1371" w:hanging="360"/>
      </w:pPr>
    </w:lvl>
    <w:lvl w:ilvl="2" w:tplc="0426001B" w:tentative="1">
      <w:start w:val="1"/>
      <w:numFmt w:val="lowerRoman"/>
      <w:lvlText w:val="%3."/>
      <w:lvlJc w:val="right"/>
      <w:pPr>
        <w:ind w:left="2091" w:hanging="180"/>
      </w:pPr>
    </w:lvl>
    <w:lvl w:ilvl="3" w:tplc="0426000F" w:tentative="1">
      <w:start w:val="1"/>
      <w:numFmt w:val="decimal"/>
      <w:lvlText w:val="%4."/>
      <w:lvlJc w:val="left"/>
      <w:pPr>
        <w:ind w:left="2811" w:hanging="360"/>
      </w:pPr>
    </w:lvl>
    <w:lvl w:ilvl="4" w:tplc="04260019" w:tentative="1">
      <w:start w:val="1"/>
      <w:numFmt w:val="lowerLetter"/>
      <w:lvlText w:val="%5."/>
      <w:lvlJc w:val="left"/>
      <w:pPr>
        <w:ind w:left="3531" w:hanging="360"/>
      </w:pPr>
    </w:lvl>
    <w:lvl w:ilvl="5" w:tplc="0426001B" w:tentative="1">
      <w:start w:val="1"/>
      <w:numFmt w:val="lowerRoman"/>
      <w:lvlText w:val="%6."/>
      <w:lvlJc w:val="right"/>
      <w:pPr>
        <w:ind w:left="4251" w:hanging="180"/>
      </w:pPr>
    </w:lvl>
    <w:lvl w:ilvl="6" w:tplc="0426000F" w:tentative="1">
      <w:start w:val="1"/>
      <w:numFmt w:val="decimal"/>
      <w:lvlText w:val="%7."/>
      <w:lvlJc w:val="left"/>
      <w:pPr>
        <w:ind w:left="4971" w:hanging="360"/>
      </w:pPr>
    </w:lvl>
    <w:lvl w:ilvl="7" w:tplc="04260019" w:tentative="1">
      <w:start w:val="1"/>
      <w:numFmt w:val="lowerLetter"/>
      <w:lvlText w:val="%8."/>
      <w:lvlJc w:val="left"/>
      <w:pPr>
        <w:ind w:left="5691" w:hanging="360"/>
      </w:pPr>
    </w:lvl>
    <w:lvl w:ilvl="8" w:tplc="0426001B" w:tentative="1">
      <w:start w:val="1"/>
      <w:numFmt w:val="lowerRoman"/>
      <w:lvlText w:val="%9."/>
      <w:lvlJc w:val="right"/>
      <w:pPr>
        <w:ind w:left="6411" w:hanging="180"/>
      </w:pPr>
    </w:lvl>
  </w:abstractNum>
  <w:abstractNum w:abstractNumId="7" w15:restartNumberingAfterBreak="0">
    <w:nsid w:val="7F914007"/>
    <w:multiLevelType w:val="hybridMultilevel"/>
    <w:tmpl w:val="FE7222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7543656">
    <w:abstractNumId w:val="7"/>
  </w:num>
  <w:num w:numId="2" w16cid:durableId="1118834601">
    <w:abstractNumId w:val="3"/>
  </w:num>
  <w:num w:numId="3" w16cid:durableId="1022901843">
    <w:abstractNumId w:val="4"/>
  </w:num>
  <w:num w:numId="4" w16cid:durableId="755787376">
    <w:abstractNumId w:val="2"/>
  </w:num>
  <w:num w:numId="5" w16cid:durableId="1659727912">
    <w:abstractNumId w:val="0"/>
  </w:num>
  <w:num w:numId="6" w16cid:durableId="995184584">
    <w:abstractNumId w:val="5"/>
  </w:num>
  <w:num w:numId="7" w16cid:durableId="1643270749">
    <w:abstractNumId w:val="1"/>
  </w:num>
  <w:num w:numId="8" w16cid:durableId="725951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CB"/>
    <w:rsid w:val="0002405D"/>
    <w:rsid w:val="00166CCB"/>
    <w:rsid w:val="00215399"/>
    <w:rsid w:val="002A7CB7"/>
    <w:rsid w:val="0031307B"/>
    <w:rsid w:val="00340018"/>
    <w:rsid w:val="00433DB3"/>
    <w:rsid w:val="005069D6"/>
    <w:rsid w:val="0055284D"/>
    <w:rsid w:val="005D14B5"/>
    <w:rsid w:val="006A38D4"/>
    <w:rsid w:val="00721DC3"/>
    <w:rsid w:val="00756A26"/>
    <w:rsid w:val="00784F34"/>
    <w:rsid w:val="008559F8"/>
    <w:rsid w:val="008A0169"/>
    <w:rsid w:val="008E65EF"/>
    <w:rsid w:val="0090184E"/>
    <w:rsid w:val="00A177DC"/>
    <w:rsid w:val="00A3415D"/>
    <w:rsid w:val="00A37746"/>
    <w:rsid w:val="00A43E04"/>
    <w:rsid w:val="00A569D4"/>
    <w:rsid w:val="00BE5333"/>
    <w:rsid w:val="00C46703"/>
    <w:rsid w:val="00C47925"/>
    <w:rsid w:val="00C9337E"/>
    <w:rsid w:val="00D87753"/>
    <w:rsid w:val="00DE3ACE"/>
    <w:rsid w:val="00EC355B"/>
    <w:rsid w:val="00F2100E"/>
    <w:rsid w:val="00F84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3EEA"/>
  <w15:chartTrackingRefBased/>
  <w15:docId w15:val="{D1E40F4F-4DFF-4760-A3E6-7E89ED5C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6CC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6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6CCB"/>
    <w:rPr>
      <w:color w:val="0563C1" w:themeColor="hyperlink"/>
      <w:u w:val="single"/>
    </w:rPr>
  </w:style>
  <w:style w:type="character" w:styleId="Neatrisintapieminana">
    <w:name w:val="Unresolved Mention"/>
    <w:basedOn w:val="Noklusjumarindkopasfonts"/>
    <w:uiPriority w:val="99"/>
    <w:semiHidden/>
    <w:unhideWhenUsed/>
    <w:rsid w:val="00166CCB"/>
    <w:rPr>
      <w:color w:val="605E5C"/>
      <w:shd w:val="clear" w:color="auto" w:fill="E1DFDD"/>
    </w:rPr>
  </w:style>
  <w:style w:type="paragraph" w:styleId="Sarakstarindkopa">
    <w:name w:val="List Paragraph"/>
    <w:basedOn w:val="Parasts"/>
    <w:uiPriority w:val="34"/>
    <w:qFormat/>
    <w:rsid w:val="00166CCB"/>
    <w:pPr>
      <w:ind w:left="720"/>
      <w:contextualSpacing/>
    </w:pPr>
  </w:style>
  <w:style w:type="paragraph" w:styleId="Prskatjums">
    <w:name w:val="Revision"/>
    <w:hidden/>
    <w:uiPriority w:val="99"/>
    <w:semiHidden/>
    <w:rsid w:val="00A43E04"/>
    <w:pPr>
      <w:spacing w:after="0" w:line="240" w:lineRule="auto"/>
    </w:pPr>
  </w:style>
  <w:style w:type="character" w:styleId="Komentraatsauce">
    <w:name w:val="annotation reference"/>
    <w:basedOn w:val="Noklusjumarindkopasfonts"/>
    <w:uiPriority w:val="99"/>
    <w:semiHidden/>
    <w:unhideWhenUsed/>
    <w:rsid w:val="00A43E04"/>
    <w:rPr>
      <w:sz w:val="16"/>
      <w:szCs w:val="16"/>
    </w:rPr>
  </w:style>
  <w:style w:type="paragraph" w:styleId="Komentrateksts">
    <w:name w:val="annotation text"/>
    <w:basedOn w:val="Parasts"/>
    <w:link w:val="KomentratekstsRakstz"/>
    <w:uiPriority w:val="99"/>
    <w:unhideWhenUsed/>
    <w:rsid w:val="00A43E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A43E04"/>
    <w:rPr>
      <w:sz w:val="20"/>
      <w:szCs w:val="20"/>
    </w:rPr>
  </w:style>
  <w:style w:type="paragraph" w:styleId="Komentratma">
    <w:name w:val="annotation subject"/>
    <w:basedOn w:val="Komentrateksts"/>
    <w:next w:val="Komentrateksts"/>
    <w:link w:val="KomentratmaRakstz"/>
    <w:uiPriority w:val="99"/>
    <w:semiHidden/>
    <w:unhideWhenUsed/>
    <w:rsid w:val="00A43E04"/>
    <w:rPr>
      <w:b/>
      <w:bCs/>
    </w:rPr>
  </w:style>
  <w:style w:type="character" w:customStyle="1" w:styleId="KomentratmaRakstz">
    <w:name w:val="Komentāra tēma Rakstz."/>
    <w:basedOn w:val="KomentratekstsRakstz"/>
    <w:link w:val="Komentratma"/>
    <w:uiPriority w:val="99"/>
    <w:semiHidden/>
    <w:rsid w:val="00A43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9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7FEFC-C6DF-4C3C-84D4-C3445D59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2785</Words>
  <Characters>1588</Characters>
  <Application>Microsoft Office Word</Application>
  <DocSecurity>4</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Jumakova</dc:creator>
  <cp:keywords/>
  <dc:description/>
  <cp:lastModifiedBy>Anastasija Jumakova</cp:lastModifiedBy>
  <cp:revision>2</cp:revision>
  <dcterms:created xsi:type="dcterms:W3CDTF">2024-06-27T11:21:00Z</dcterms:created>
  <dcterms:modified xsi:type="dcterms:W3CDTF">2024-06-27T11:21:00Z</dcterms:modified>
</cp:coreProperties>
</file>